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390" w:x="536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</w:rPr>
        <w:t>ONEMÜ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2000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338</Words>
  <Characters>2847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2020-01-29T14:08:54+01:00</dcterms:created>
  <dcterms:modified xmlns:xsi="http://www.w3.org/2001/XMLSchema-instance" xmlns:dcterms="http://purl.org/dc/terms/" xsi:type="dcterms:W3CDTF">2020-01-29T14:08:54+01:00</dcterms:modified>
</coreProperties>
</file>